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B7" w:rsidRPr="00786FA2" w:rsidRDefault="00403990" w:rsidP="00F21770">
      <w:pPr>
        <w:spacing w:line="240" w:lineRule="auto"/>
        <w:jc w:val="center"/>
        <w:rPr>
          <w:b/>
        </w:rPr>
      </w:pPr>
      <w:r w:rsidRPr="00786FA2">
        <w:rPr>
          <w:b/>
        </w:rPr>
        <w:t>DEPARTAMENTO DE BIENES Y SUMINISTROS</w:t>
      </w:r>
    </w:p>
    <w:p w:rsidR="00786FA2" w:rsidRDefault="00454DE0" w:rsidP="005C3F1D">
      <w:pPr>
        <w:spacing w:line="240" w:lineRule="auto"/>
        <w:jc w:val="center"/>
      </w:pPr>
      <w:r>
        <w:t xml:space="preserve">REPORTE DE </w:t>
      </w:r>
      <w:r w:rsidR="00DD6DB6">
        <w:t xml:space="preserve">ACTIVIDADES 2012 </w:t>
      </w:r>
      <w:r w:rsidR="005C3F1D">
        <w:t>–</w:t>
      </w:r>
      <w:r w:rsidR="00DD6DB6">
        <w:t xml:space="preserve"> 2015</w:t>
      </w:r>
    </w:p>
    <w:p w:rsidR="005C3F1D" w:rsidRPr="005C3F1D" w:rsidRDefault="005C3F1D" w:rsidP="005C3F1D">
      <w:pPr>
        <w:spacing w:line="240" w:lineRule="auto"/>
        <w:jc w:val="center"/>
      </w:pPr>
    </w:p>
    <w:p w:rsidR="00DD6DB6" w:rsidRPr="008841D2" w:rsidRDefault="00786FA2" w:rsidP="00DD6DB6">
      <w:pPr>
        <w:spacing w:line="240" w:lineRule="auto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266700</wp:posOffset>
            </wp:positionV>
            <wp:extent cx="5685155" cy="2782570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0B3416">
        <w:rPr>
          <w:b/>
        </w:rPr>
        <w:t>Total de servicios atendidos</w:t>
      </w:r>
    </w:p>
    <w:p w:rsidR="00DD6DB6" w:rsidRDefault="00DD6DB6" w:rsidP="007417BF">
      <w:pPr>
        <w:spacing w:line="240" w:lineRule="auto"/>
        <w:jc w:val="center"/>
      </w:pPr>
    </w:p>
    <w:p w:rsidR="009F6270" w:rsidRDefault="009F6270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DD6DB6" w:rsidRPr="009B56C6" w:rsidRDefault="00786FA2" w:rsidP="009B56C6">
      <w:pPr>
        <w:spacing w:line="240" w:lineRule="auto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290195</wp:posOffset>
            </wp:positionV>
            <wp:extent cx="3275330" cy="2877820"/>
            <wp:effectExtent l="19050" t="19050" r="1270" b="0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D55064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290802</wp:posOffset>
            </wp:positionV>
            <wp:extent cx="3275937" cy="2878373"/>
            <wp:effectExtent l="19050" t="19050" r="1270" b="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9B56C6" w:rsidRPr="009B56C6">
        <w:rPr>
          <w:b/>
        </w:rPr>
        <w:t>T</w:t>
      </w:r>
      <w:r w:rsidR="000B3416">
        <w:rPr>
          <w:b/>
        </w:rPr>
        <w:t>otal de bienes capitalizables adquiridos</w:t>
      </w: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5C3F1D" w:rsidRDefault="00786FA2" w:rsidP="005C3F1D">
      <w:pPr>
        <w:spacing w:line="240" w:lineRule="auto"/>
      </w:pPr>
      <w:r w:rsidRPr="000179D3">
        <w:rPr>
          <w:b/>
        </w:rPr>
        <w:t>Nota</w:t>
      </w:r>
      <w:r>
        <w:t xml:space="preserve">: Los bienes capitalizables son aquellos que forman parte del Patrimonio Universitario, </w:t>
      </w:r>
      <w:r w:rsidR="00EA1198">
        <w:t>su valor mayor a 100 salario</w:t>
      </w:r>
      <w:r w:rsidR="00B761E4">
        <w:t>s mínimos determina este factor.</w:t>
      </w:r>
    </w:p>
    <w:p w:rsidR="00F21770" w:rsidRPr="00886F9F" w:rsidRDefault="000B3416" w:rsidP="005C3F1D">
      <w:pPr>
        <w:spacing w:line="240" w:lineRule="auto"/>
        <w:jc w:val="center"/>
        <w:rPr>
          <w:sz w:val="24"/>
        </w:rPr>
      </w:pPr>
      <w:r>
        <w:rPr>
          <w:b/>
          <w:sz w:val="24"/>
        </w:rPr>
        <w:lastRenderedPageBreak/>
        <w:t>Crecimiento del Patrimonio Universitario  de la Facultad de Derecho</w:t>
      </w:r>
    </w:p>
    <w:p w:rsidR="00F21770" w:rsidRDefault="005135A7" w:rsidP="00DD6DB6">
      <w:pPr>
        <w:spacing w:line="240" w:lineRule="auto"/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113500</wp:posOffset>
            </wp:positionV>
            <wp:extent cx="5685155" cy="3291840"/>
            <wp:effectExtent l="19050" t="19050" r="0" b="381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5135A7" w:rsidRDefault="005C3F1D" w:rsidP="005135A7">
      <w:pPr>
        <w:spacing w:line="240" w:lineRule="auto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207645</wp:posOffset>
            </wp:positionV>
            <wp:extent cx="3275330" cy="2893695"/>
            <wp:effectExtent l="19050" t="19050" r="1270" b="190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200025</wp:posOffset>
            </wp:positionV>
            <wp:extent cx="3275330" cy="2877820"/>
            <wp:effectExtent l="19050" t="19050" r="1270" b="0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bookmarkEnd w:id="0"/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5C3F1D" w:rsidRDefault="005C3F1D" w:rsidP="005C3F1D">
      <w:pPr>
        <w:pStyle w:val="Prrafodelista"/>
        <w:spacing w:line="240" w:lineRule="auto"/>
      </w:pPr>
    </w:p>
    <w:p w:rsidR="000B3416" w:rsidRDefault="005C3F1D" w:rsidP="005C3F1D">
      <w:pPr>
        <w:pStyle w:val="Prrafodelista"/>
        <w:numPr>
          <w:ilvl w:val="0"/>
          <w:numId w:val="10"/>
        </w:numPr>
        <w:spacing w:line="240" w:lineRule="auto"/>
      </w:pPr>
      <w:r>
        <w:t>Los vehículos utilitarios con buen desempeño y en buenas condiciones no fueron contemplados dentro del programa de actualización.</w:t>
      </w:r>
    </w:p>
    <w:p w:rsidR="005C3F1D" w:rsidRDefault="005C3F1D" w:rsidP="005C3F1D">
      <w:pPr>
        <w:pStyle w:val="Prrafodelista"/>
        <w:numPr>
          <w:ilvl w:val="0"/>
          <w:numId w:val="10"/>
        </w:numPr>
        <w:spacing w:line="240" w:lineRule="auto"/>
      </w:pPr>
      <w:r>
        <w:t>Se alcanzó el 100% del programa establecido de actualización del parque vehicular</w:t>
      </w:r>
    </w:p>
    <w:p w:rsidR="00517431" w:rsidRDefault="00517431" w:rsidP="00517431">
      <w:pPr>
        <w:spacing w:line="240" w:lineRule="auto"/>
        <w:rPr>
          <w:b/>
        </w:rPr>
      </w:pPr>
    </w:p>
    <w:p w:rsidR="00047FDF" w:rsidRPr="00786FA2" w:rsidRDefault="00583498" w:rsidP="00517431">
      <w:pPr>
        <w:spacing w:line="240" w:lineRule="auto"/>
        <w:jc w:val="center"/>
        <w:rPr>
          <w:b/>
        </w:rPr>
      </w:pPr>
      <w:r>
        <w:rPr>
          <w:b/>
        </w:rPr>
        <w:lastRenderedPageBreak/>
        <w:t>PARQUE VEHICULAR 2015</w:t>
      </w:r>
    </w:p>
    <w:tbl>
      <w:tblPr>
        <w:tblStyle w:val="Listavistosa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1506"/>
        <w:gridCol w:w="1515"/>
        <w:gridCol w:w="1408"/>
        <w:gridCol w:w="1416"/>
        <w:gridCol w:w="1726"/>
      </w:tblGrid>
      <w:tr w:rsidR="00D50AC0" w:rsidTr="00D50AC0">
        <w:trPr>
          <w:cnfStyle w:val="1000000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Default="00D50AC0" w:rsidP="007E28FA">
            <w:pPr>
              <w:jc w:val="center"/>
            </w:pPr>
            <w:r>
              <w:t>INVENTARIO</w:t>
            </w:r>
          </w:p>
        </w:tc>
        <w:tc>
          <w:tcPr>
            <w:tcW w:w="1506" w:type="dxa"/>
            <w:vAlign w:val="center"/>
          </w:tcPr>
          <w:p w:rsidR="00D50AC0" w:rsidRDefault="00D50AC0" w:rsidP="007E28FA">
            <w:pPr>
              <w:jc w:val="center"/>
              <w:cnfStyle w:val="100000000000"/>
            </w:pPr>
            <w:r>
              <w:t>MARCA</w:t>
            </w:r>
          </w:p>
        </w:tc>
        <w:tc>
          <w:tcPr>
            <w:tcW w:w="1515" w:type="dxa"/>
            <w:vAlign w:val="center"/>
          </w:tcPr>
          <w:p w:rsidR="00D50AC0" w:rsidRDefault="00D50AC0" w:rsidP="007E28FA">
            <w:pPr>
              <w:jc w:val="center"/>
              <w:cnfStyle w:val="100000000000"/>
            </w:pPr>
            <w:r>
              <w:t>MODELO</w:t>
            </w:r>
          </w:p>
        </w:tc>
        <w:tc>
          <w:tcPr>
            <w:tcW w:w="1408" w:type="dxa"/>
            <w:vAlign w:val="center"/>
          </w:tcPr>
          <w:p w:rsidR="00D50AC0" w:rsidRDefault="00D50AC0" w:rsidP="007E28FA">
            <w:pPr>
              <w:jc w:val="center"/>
              <w:cnfStyle w:val="100000000000"/>
            </w:pPr>
            <w:r>
              <w:t>AÑO</w:t>
            </w:r>
          </w:p>
        </w:tc>
        <w:tc>
          <w:tcPr>
            <w:tcW w:w="1416" w:type="dxa"/>
            <w:vAlign w:val="center"/>
          </w:tcPr>
          <w:p w:rsidR="00D50AC0" w:rsidRDefault="00D50AC0" w:rsidP="007E28FA">
            <w:pPr>
              <w:jc w:val="center"/>
              <w:cnfStyle w:val="100000000000"/>
            </w:pPr>
            <w:r>
              <w:t>CATEGORIA</w:t>
            </w:r>
          </w:p>
        </w:tc>
        <w:tc>
          <w:tcPr>
            <w:tcW w:w="1726" w:type="dxa"/>
            <w:vAlign w:val="center"/>
          </w:tcPr>
          <w:p w:rsidR="00D50AC0" w:rsidRDefault="00D50AC0" w:rsidP="00BB601E">
            <w:pPr>
              <w:jc w:val="center"/>
              <w:cnfStyle w:val="100000000000"/>
            </w:pPr>
            <w:r>
              <w:t>AREA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rFonts w:cs="Arial"/>
                <w:b w:val="0"/>
                <w:sz w:val="16"/>
                <w:szCs w:val="18"/>
              </w:rPr>
              <w:t>2316763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MERCEDES BENZ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SPRINTER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</w:p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2010</w:t>
            </w:r>
          </w:p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50A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</w:t>
            </w:r>
            <w:r w:rsidR="00D50AC0">
              <w:rPr>
                <w:sz w:val="16"/>
                <w:szCs w:val="18"/>
              </w:rPr>
              <w:t>D</w:t>
            </w:r>
            <w:r>
              <w:rPr>
                <w:sz w:val="16"/>
                <w:szCs w:val="18"/>
              </w:rPr>
              <w:t>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SERVICIOS GENERALES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2235103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FORD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PICK UP F-250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2006</w:t>
            </w:r>
          </w:p>
        </w:tc>
        <w:tc>
          <w:tcPr>
            <w:tcW w:w="1416" w:type="dxa"/>
            <w:vAlign w:val="center"/>
          </w:tcPr>
          <w:p w:rsidR="00D50AC0" w:rsidRDefault="00D50AC0" w:rsidP="00D50AC0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D50AC0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</w:t>
            </w:r>
            <w:r w:rsidR="00D50AC0">
              <w:rPr>
                <w:sz w:val="16"/>
                <w:szCs w:val="18"/>
              </w:rPr>
              <w:t>D</w:t>
            </w:r>
            <w:r>
              <w:rPr>
                <w:sz w:val="16"/>
                <w:szCs w:val="18"/>
              </w:rPr>
              <w:t>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SERVICIOS GENERALES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2361654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GOLF SPORTWAGEN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2012</w:t>
            </w:r>
          </w:p>
        </w:tc>
        <w:tc>
          <w:tcPr>
            <w:tcW w:w="1416" w:type="dxa"/>
            <w:vAlign w:val="center"/>
          </w:tcPr>
          <w:p w:rsidR="00D50A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DIRECTIVO</w:t>
            </w:r>
          </w:p>
          <w:p w:rsidR="00D50AC0" w:rsidRPr="00D735C0" w:rsidRDefault="00E625E7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</w:t>
            </w:r>
            <w:r w:rsidR="00D50AC0">
              <w:rPr>
                <w:sz w:val="16"/>
                <w:szCs w:val="18"/>
              </w:rPr>
              <w:t>B</w:t>
            </w:r>
            <w:r>
              <w:rPr>
                <w:sz w:val="16"/>
                <w:szCs w:val="18"/>
              </w:rPr>
              <w:t>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DIRECCION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2401934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NISSAN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TI</w:t>
            </w:r>
            <w:r w:rsidR="002C7CC3">
              <w:rPr>
                <w:sz w:val="16"/>
                <w:szCs w:val="18"/>
              </w:rPr>
              <w:t>I</w:t>
            </w:r>
            <w:r w:rsidRPr="00D735C0">
              <w:rPr>
                <w:sz w:val="16"/>
                <w:szCs w:val="18"/>
              </w:rPr>
              <w:t>DA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2013</w:t>
            </w:r>
          </w:p>
        </w:tc>
        <w:tc>
          <w:tcPr>
            <w:tcW w:w="1416" w:type="dxa"/>
            <w:vAlign w:val="center"/>
          </w:tcPr>
          <w:p w:rsidR="00D50AC0" w:rsidRDefault="00D50AC0" w:rsidP="00D50AC0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D50AC0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</w:t>
            </w:r>
            <w:r w:rsidR="00D50AC0">
              <w:rPr>
                <w:sz w:val="16"/>
                <w:szCs w:val="18"/>
              </w:rPr>
              <w:t>D</w:t>
            </w:r>
            <w:r>
              <w:rPr>
                <w:sz w:val="16"/>
                <w:szCs w:val="18"/>
              </w:rPr>
              <w:t>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DIVISION DE ESTUDIOS DE POSGRADO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2401730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JETTA CLASICO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2014</w:t>
            </w:r>
          </w:p>
        </w:tc>
        <w:tc>
          <w:tcPr>
            <w:tcW w:w="1416" w:type="dxa"/>
            <w:vAlign w:val="center"/>
          </w:tcPr>
          <w:p w:rsidR="00D50AC0" w:rsidRDefault="00D50AC0" w:rsidP="00D50AC0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FUNCIONARIO</w:t>
            </w:r>
          </w:p>
          <w:p w:rsidR="00D50AC0" w:rsidRPr="00D735C0" w:rsidRDefault="00E625E7" w:rsidP="00D50AC0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</w:t>
            </w:r>
            <w:r w:rsidR="00D50AC0">
              <w:rPr>
                <w:sz w:val="16"/>
                <w:szCs w:val="18"/>
              </w:rPr>
              <w:t>C</w:t>
            </w:r>
            <w:r>
              <w:rPr>
                <w:sz w:val="16"/>
                <w:szCs w:val="18"/>
              </w:rPr>
              <w:t>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SERVICIOS GENERALES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2401931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NISSAN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VERSA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2014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FUNCIONARIO</w:t>
            </w:r>
          </w:p>
          <w:p w:rsidR="00D50AC0" w:rsidRPr="00D735C0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“C”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SECRETARIA GENERAL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2401932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NISSAN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VERSA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2014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FUNCIONARIO</w:t>
            </w:r>
          </w:p>
          <w:p w:rsidR="00D50AC0" w:rsidRPr="00D735C0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“C”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SECRETARIA DE ASUNTOS JURIDICOS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2401933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NISSAN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VERSA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2014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FUNCIONARIO</w:t>
            </w:r>
          </w:p>
          <w:p w:rsidR="00D50AC0" w:rsidRPr="00D735C0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“C”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DIVISION DE EDUCACION A DISTANCIA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2442781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SERVICIOS GENERALES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2442780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DELEGACION ADMINISTRATIVA SUA Y ED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2442782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SECRETARIA ADMINISTRATIVA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2441833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DIVISION DE EDUCACION CONTINUA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2441835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DEPARTAMENTO DE FINANZAS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2441834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SISTEMA DE UNIVERSIDAD ABIERTA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2441836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DIRECCION</w:t>
            </w:r>
          </w:p>
        </w:tc>
      </w:tr>
    </w:tbl>
    <w:p w:rsidR="00047FDF" w:rsidRDefault="00047FDF" w:rsidP="00583498">
      <w:pPr>
        <w:spacing w:line="240" w:lineRule="auto"/>
      </w:pPr>
    </w:p>
    <w:p w:rsidR="00664DDD" w:rsidRPr="002C7CC3" w:rsidRDefault="00583498" w:rsidP="00583498">
      <w:pPr>
        <w:spacing w:line="240" w:lineRule="auto"/>
        <w:rPr>
          <w:b/>
        </w:rPr>
      </w:pPr>
      <w:r w:rsidRPr="002C7CC3">
        <w:rPr>
          <w:b/>
        </w:rPr>
        <w:t xml:space="preserve">Septiembre 2013 </w:t>
      </w:r>
    </w:p>
    <w:p w:rsidR="00583498" w:rsidRPr="002C7CC3" w:rsidRDefault="00583498" w:rsidP="00583498">
      <w:pPr>
        <w:pStyle w:val="Prrafodelista"/>
        <w:numPr>
          <w:ilvl w:val="0"/>
          <w:numId w:val="6"/>
        </w:numPr>
        <w:spacing w:line="240" w:lineRule="auto"/>
      </w:pPr>
      <w:r w:rsidRPr="002C7CC3">
        <w:t xml:space="preserve">Inicia la actualización del parque vehicular de la Facultad de Derecho, realizando la adquisición de </w:t>
      </w:r>
      <w:r w:rsidR="005C3F1D">
        <w:t>4</w:t>
      </w:r>
      <w:r w:rsidR="002C7CC3" w:rsidRPr="002C7CC3">
        <w:t>vehículos</w:t>
      </w:r>
    </w:p>
    <w:p w:rsidR="00FB511E" w:rsidRPr="002C7CC3" w:rsidRDefault="00FB511E" w:rsidP="00FB511E">
      <w:pPr>
        <w:spacing w:line="240" w:lineRule="auto"/>
        <w:rPr>
          <w:b/>
        </w:rPr>
      </w:pPr>
      <w:r w:rsidRPr="002C7CC3">
        <w:rPr>
          <w:b/>
        </w:rPr>
        <w:t>Marzo 2015</w:t>
      </w:r>
    </w:p>
    <w:p w:rsidR="00FB511E" w:rsidRPr="002C7CC3" w:rsidRDefault="00FB511E" w:rsidP="00FB511E">
      <w:pPr>
        <w:pStyle w:val="Prrafodelista"/>
        <w:numPr>
          <w:ilvl w:val="0"/>
          <w:numId w:val="6"/>
        </w:numPr>
        <w:spacing w:line="240" w:lineRule="auto"/>
      </w:pPr>
      <w:r w:rsidRPr="002C7CC3">
        <w:t xml:space="preserve">Se completa la actualización del parque vehicular de la dependencia con la adquisición </w:t>
      </w:r>
      <w:r w:rsidR="00D50AC0" w:rsidRPr="002C7CC3">
        <w:t xml:space="preserve">de 7 </w:t>
      </w:r>
      <w:r w:rsidR="002C7CC3" w:rsidRPr="002C7CC3">
        <w:t>vehículos</w:t>
      </w:r>
      <w:r w:rsidR="00D50AC0" w:rsidRPr="002C7CC3">
        <w:t>.</w:t>
      </w:r>
    </w:p>
    <w:p w:rsidR="009D42A0" w:rsidRDefault="00D50AC0" w:rsidP="009D42A0">
      <w:pPr>
        <w:pStyle w:val="Prrafodelista"/>
        <w:numPr>
          <w:ilvl w:val="0"/>
          <w:numId w:val="6"/>
        </w:numPr>
        <w:spacing w:line="240" w:lineRule="auto"/>
      </w:pPr>
      <w:r w:rsidRPr="002C7CC3">
        <w:t xml:space="preserve">Se logra incrementar el parque vehicular de la dependencia a 15 </w:t>
      </w:r>
      <w:r w:rsidR="002C7CC3" w:rsidRPr="002C7CC3">
        <w:t>vehículos</w:t>
      </w:r>
      <w:r w:rsidR="009D42A0">
        <w:t>.</w:t>
      </w:r>
    </w:p>
    <w:p w:rsidR="00DD6DB6" w:rsidRPr="009D42A0" w:rsidRDefault="00F238B1" w:rsidP="009D42A0">
      <w:pPr>
        <w:spacing w:line="240" w:lineRule="auto"/>
      </w:pPr>
      <w:r w:rsidRPr="009D42A0">
        <w:rPr>
          <w:b/>
        </w:rPr>
        <w:lastRenderedPageBreak/>
        <w:t>ACTIVIDADES DESTACADAS 2012</w:t>
      </w:r>
    </w:p>
    <w:p w:rsidR="004D1DBC" w:rsidRDefault="00F21770" w:rsidP="009D42A0">
      <w:pPr>
        <w:pStyle w:val="Prrafodelista"/>
        <w:numPr>
          <w:ilvl w:val="0"/>
          <w:numId w:val="6"/>
        </w:numPr>
        <w:spacing w:line="240" w:lineRule="auto"/>
        <w:jc w:val="both"/>
      </w:pPr>
      <w:r>
        <w:t>Equipamiento de audio para el área de</w:t>
      </w:r>
      <w:r w:rsidR="00051743">
        <w:t xml:space="preserve"> Radio IUS</w:t>
      </w:r>
    </w:p>
    <w:p w:rsidR="00051743" w:rsidRDefault="00051743" w:rsidP="009D42A0">
      <w:pPr>
        <w:pStyle w:val="Prrafodelista"/>
        <w:numPr>
          <w:ilvl w:val="0"/>
          <w:numId w:val="6"/>
        </w:numPr>
        <w:spacing w:line="240" w:lineRule="auto"/>
        <w:jc w:val="both"/>
      </w:pPr>
      <w:r>
        <w:t xml:space="preserve">Adquisición </w:t>
      </w:r>
      <w:r w:rsidR="00D93525">
        <w:t xml:space="preserve">de </w:t>
      </w:r>
      <w:r>
        <w:t>insumos para las diversas actividades culturales y deportivas de la Facultad</w:t>
      </w:r>
    </w:p>
    <w:p w:rsidR="00F238B1" w:rsidRPr="002C7CC3" w:rsidRDefault="00F238B1" w:rsidP="009D42A0">
      <w:pPr>
        <w:spacing w:line="240" w:lineRule="auto"/>
        <w:jc w:val="both"/>
        <w:rPr>
          <w:b/>
        </w:rPr>
      </w:pPr>
      <w:r w:rsidRPr="002C7CC3">
        <w:rPr>
          <w:b/>
        </w:rPr>
        <w:t>ACTIVIDADES DESTACADAS 2013</w:t>
      </w:r>
    </w:p>
    <w:p w:rsidR="00F21770" w:rsidRDefault="009D42A0" w:rsidP="009D42A0">
      <w:pPr>
        <w:pStyle w:val="Prrafodelista"/>
        <w:numPr>
          <w:ilvl w:val="0"/>
          <w:numId w:val="9"/>
        </w:numPr>
        <w:spacing w:line="240" w:lineRule="auto"/>
        <w:jc w:val="both"/>
      </w:pPr>
      <w:r>
        <w:t>Adquisición</w:t>
      </w:r>
      <w:r w:rsidR="00F21770">
        <w:t xml:space="preserve"> de señalización</w:t>
      </w:r>
      <w:r>
        <w:t xml:space="preserve"> para diversas Áreas </w:t>
      </w:r>
      <w:r w:rsidR="00F21770">
        <w:t>de la Facultad de Derecho</w:t>
      </w:r>
    </w:p>
    <w:p w:rsidR="00895088" w:rsidRDefault="00895088" w:rsidP="009D42A0">
      <w:pPr>
        <w:pStyle w:val="Prrafodelista"/>
        <w:numPr>
          <w:ilvl w:val="0"/>
          <w:numId w:val="9"/>
        </w:numPr>
        <w:spacing w:line="240" w:lineRule="auto"/>
        <w:jc w:val="both"/>
      </w:pPr>
      <w:r>
        <w:t>Equipamiento del proyecto Islas de impresión en Seminarios</w:t>
      </w:r>
    </w:p>
    <w:p w:rsidR="00D50AC0" w:rsidRDefault="00D50AC0" w:rsidP="009D42A0">
      <w:pPr>
        <w:pStyle w:val="Prrafodelista"/>
        <w:numPr>
          <w:ilvl w:val="0"/>
          <w:numId w:val="9"/>
        </w:numPr>
        <w:spacing w:line="240" w:lineRule="auto"/>
        <w:jc w:val="both"/>
      </w:pPr>
      <w:r>
        <w:t xml:space="preserve">Adquisición de 5 vehículos:  </w:t>
      </w:r>
      <w:r w:rsidR="007873AB">
        <w:t>3</w:t>
      </w:r>
      <w:r w:rsidR="00D5638E">
        <w:t xml:space="preserve"> Versas</w:t>
      </w:r>
      <w:r>
        <w:t xml:space="preserve"> Nissan, 1 Tiida Nissan, 1 Jetta Clásico Volkswagen (Actualización del parque Vehicular)</w:t>
      </w:r>
    </w:p>
    <w:p w:rsidR="00D50AC0" w:rsidRDefault="00D50AC0" w:rsidP="009D42A0">
      <w:pPr>
        <w:pStyle w:val="Prrafodelista"/>
        <w:numPr>
          <w:ilvl w:val="0"/>
          <w:numId w:val="3"/>
        </w:numPr>
        <w:spacing w:line="240" w:lineRule="auto"/>
        <w:jc w:val="both"/>
      </w:pPr>
      <w:r>
        <w:t>Adquisición</w:t>
      </w:r>
      <w:r w:rsidR="00D93525">
        <w:t xml:space="preserve"> de</w:t>
      </w:r>
      <w:r>
        <w:t xml:space="preserve"> insumos para las diversas actividades culturales y deportivas de la Facultad</w:t>
      </w:r>
    </w:p>
    <w:p w:rsidR="00921CD7" w:rsidRDefault="00D50AC0" w:rsidP="009D42A0">
      <w:pPr>
        <w:pStyle w:val="Prrafodelista"/>
        <w:numPr>
          <w:ilvl w:val="0"/>
          <w:numId w:val="3"/>
        </w:numPr>
        <w:spacing w:line="240" w:lineRule="auto"/>
        <w:jc w:val="both"/>
      </w:pPr>
      <w:r>
        <w:t xml:space="preserve">Compra de equipo de cómputo para </w:t>
      </w:r>
      <w:r w:rsidR="00D93525">
        <w:t>Educación a Distancia</w:t>
      </w:r>
    </w:p>
    <w:p w:rsidR="00F238B1" w:rsidRPr="002C7CC3" w:rsidRDefault="00F238B1" w:rsidP="009D42A0">
      <w:pPr>
        <w:spacing w:line="240" w:lineRule="auto"/>
        <w:jc w:val="both"/>
        <w:rPr>
          <w:b/>
        </w:rPr>
      </w:pPr>
      <w:r w:rsidRPr="002C7CC3">
        <w:rPr>
          <w:b/>
        </w:rPr>
        <w:t>ACTIVIDADES DESTACADAS 2014</w:t>
      </w:r>
    </w:p>
    <w:p w:rsidR="009D42A0" w:rsidRDefault="009D42A0" w:rsidP="009D42A0">
      <w:pPr>
        <w:pStyle w:val="Prrafodelista"/>
        <w:numPr>
          <w:ilvl w:val="0"/>
          <w:numId w:val="7"/>
        </w:numPr>
        <w:spacing w:line="240" w:lineRule="auto"/>
        <w:jc w:val="both"/>
      </w:pPr>
      <w:r>
        <w:t>Implementación del programa Eco – Puma,  productos de uso recurrente de bajo impacto ambiental</w:t>
      </w:r>
    </w:p>
    <w:p w:rsidR="00FB511E" w:rsidRDefault="00FB511E" w:rsidP="009D42A0">
      <w:pPr>
        <w:pStyle w:val="Prrafodelista"/>
        <w:numPr>
          <w:ilvl w:val="0"/>
          <w:numId w:val="7"/>
        </w:numPr>
        <w:spacing w:line="240" w:lineRule="auto"/>
        <w:jc w:val="both"/>
      </w:pPr>
      <w:r>
        <w:t>Adquisición</w:t>
      </w:r>
      <w:r w:rsidR="004D1DBC">
        <w:t xml:space="preserve"> de</w:t>
      </w:r>
      <w:r>
        <w:t xml:space="preserve"> suministros he insumos necesarios para el Proyecto SEDENA 2014</w:t>
      </w:r>
    </w:p>
    <w:p w:rsidR="00FB511E" w:rsidRDefault="00FB511E" w:rsidP="009D42A0">
      <w:pPr>
        <w:pStyle w:val="Prrafodelista"/>
        <w:numPr>
          <w:ilvl w:val="0"/>
          <w:numId w:val="7"/>
        </w:numPr>
        <w:spacing w:line="240" w:lineRule="auto"/>
        <w:jc w:val="both"/>
      </w:pPr>
      <w:r>
        <w:t>Adquisición de sistema de cámaras  de video vigilancia</w:t>
      </w:r>
      <w:r w:rsidR="00051743">
        <w:t xml:space="preserve"> para </w:t>
      </w:r>
      <w:r w:rsidR="005C3F1D">
        <w:t>la Dependencia</w:t>
      </w:r>
    </w:p>
    <w:p w:rsidR="00FB511E" w:rsidRDefault="00FB511E" w:rsidP="009D42A0">
      <w:pPr>
        <w:pStyle w:val="Prrafodelista"/>
        <w:numPr>
          <w:ilvl w:val="0"/>
          <w:numId w:val="7"/>
        </w:numPr>
        <w:spacing w:line="240" w:lineRule="auto"/>
        <w:jc w:val="both"/>
      </w:pPr>
      <w:r>
        <w:t xml:space="preserve">Compra de </w:t>
      </w:r>
      <w:r w:rsidR="00D93525">
        <w:t>equipo decómputo</w:t>
      </w:r>
      <w:r>
        <w:t xml:space="preserve"> para el Proyecto Enciclopedia Jurídica</w:t>
      </w:r>
    </w:p>
    <w:p w:rsidR="00051743" w:rsidRDefault="00D93525" w:rsidP="009D42A0">
      <w:pPr>
        <w:pStyle w:val="Prrafodelista"/>
        <w:numPr>
          <w:ilvl w:val="0"/>
          <w:numId w:val="7"/>
        </w:numPr>
        <w:spacing w:line="240" w:lineRule="auto"/>
        <w:jc w:val="both"/>
      </w:pPr>
      <w:r>
        <w:t>Compra de equipo de cómputo para Educación a Distancia</w:t>
      </w:r>
    </w:p>
    <w:p w:rsidR="00FB511E" w:rsidRPr="00D93525" w:rsidRDefault="00F238B1" w:rsidP="009D42A0">
      <w:pPr>
        <w:spacing w:line="240" w:lineRule="auto"/>
        <w:jc w:val="both"/>
        <w:rPr>
          <w:b/>
        </w:rPr>
      </w:pPr>
      <w:r w:rsidRPr="00D93525">
        <w:rPr>
          <w:b/>
        </w:rPr>
        <w:t>ACTIVIDADES DESTACADAS 2015</w:t>
      </w:r>
    </w:p>
    <w:p w:rsidR="004D1DBC" w:rsidRDefault="00457C90" w:rsidP="009D42A0">
      <w:pPr>
        <w:pStyle w:val="Prrafodelista"/>
        <w:numPr>
          <w:ilvl w:val="0"/>
          <w:numId w:val="8"/>
        </w:numPr>
        <w:spacing w:line="240" w:lineRule="auto"/>
        <w:jc w:val="both"/>
      </w:pPr>
      <w:r>
        <w:t>Automatización del proceso de Adquisiciones</w:t>
      </w:r>
    </w:p>
    <w:p w:rsidR="00457C90" w:rsidRDefault="00457C90" w:rsidP="009D42A0">
      <w:pPr>
        <w:pStyle w:val="Prrafodelista"/>
        <w:numPr>
          <w:ilvl w:val="0"/>
          <w:numId w:val="8"/>
        </w:numPr>
        <w:spacing w:line="240" w:lineRule="auto"/>
        <w:jc w:val="both"/>
      </w:pPr>
      <w:r>
        <w:t>Automatización del proceso de Almacén</w:t>
      </w:r>
    </w:p>
    <w:p w:rsidR="000F281A" w:rsidRDefault="00FB511E" w:rsidP="009D42A0">
      <w:pPr>
        <w:pStyle w:val="Prrafodelista"/>
        <w:numPr>
          <w:ilvl w:val="0"/>
          <w:numId w:val="8"/>
        </w:numPr>
        <w:spacing w:line="240" w:lineRule="auto"/>
        <w:jc w:val="both"/>
      </w:pPr>
      <w:r>
        <w:t>Adquisición de 7 vehículos</w:t>
      </w:r>
      <w:r w:rsidR="00D5638E">
        <w:t xml:space="preserve"> V</w:t>
      </w:r>
      <w:r w:rsidR="000F281A">
        <w:t>ento</w:t>
      </w:r>
      <w:r>
        <w:t xml:space="preserve"> Volkswagen</w:t>
      </w:r>
      <w:r w:rsidR="000F281A">
        <w:t xml:space="preserve"> 2015</w:t>
      </w:r>
      <w:r w:rsidR="004D1DBC">
        <w:t xml:space="preserve"> (Actualización del parque Vehicular)</w:t>
      </w:r>
    </w:p>
    <w:p w:rsidR="00FB511E" w:rsidRDefault="00FB511E" w:rsidP="009D42A0">
      <w:pPr>
        <w:pStyle w:val="Prrafodelista"/>
        <w:numPr>
          <w:ilvl w:val="0"/>
          <w:numId w:val="8"/>
        </w:numPr>
        <w:spacing w:line="240" w:lineRule="auto"/>
        <w:jc w:val="both"/>
      </w:pPr>
      <w:r>
        <w:t>Adquisición de mobiliario y equipo de cómputo para Proyecto Sala Themis</w:t>
      </w:r>
    </w:p>
    <w:p w:rsidR="00FB511E" w:rsidRDefault="004D1DBC" w:rsidP="009D42A0">
      <w:pPr>
        <w:pStyle w:val="Prrafodelista"/>
        <w:numPr>
          <w:ilvl w:val="0"/>
          <w:numId w:val="8"/>
        </w:numPr>
        <w:spacing w:line="240" w:lineRule="auto"/>
        <w:jc w:val="both"/>
      </w:pPr>
      <w:r>
        <w:t>Adquisición de</w:t>
      </w:r>
      <w:r w:rsidR="00FB511E">
        <w:t xml:space="preserve"> suministros he insumos necesarios para el Proyecto </w:t>
      </w:r>
      <w:r>
        <w:t>SEDENA</w:t>
      </w:r>
      <w:r w:rsidR="00FB511E">
        <w:t xml:space="preserve"> 2015</w:t>
      </w:r>
    </w:p>
    <w:p w:rsidR="004D1DBC" w:rsidRDefault="004D1DBC" w:rsidP="009D42A0">
      <w:pPr>
        <w:pStyle w:val="Prrafodelista"/>
        <w:spacing w:line="240" w:lineRule="auto"/>
        <w:jc w:val="both"/>
      </w:pPr>
    </w:p>
    <w:p w:rsidR="004D1DBC" w:rsidRDefault="004D1DBC" w:rsidP="009D42A0">
      <w:pPr>
        <w:pStyle w:val="Prrafodelista"/>
        <w:spacing w:line="240" w:lineRule="auto"/>
        <w:jc w:val="both"/>
      </w:pPr>
    </w:p>
    <w:p w:rsidR="004D1DBC" w:rsidRDefault="004D1DBC" w:rsidP="009D42A0">
      <w:pPr>
        <w:pStyle w:val="Prrafodelista"/>
        <w:spacing w:line="240" w:lineRule="auto"/>
        <w:jc w:val="both"/>
      </w:pPr>
    </w:p>
    <w:p w:rsidR="004D1DBC" w:rsidRDefault="004D1DBC" w:rsidP="009D42A0">
      <w:pPr>
        <w:pStyle w:val="Prrafodelista"/>
        <w:spacing w:line="240" w:lineRule="auto"/>
        <w:jc w:val="both"/>
      </w:pPr>
    </w:p>
    <w:p w:rsidR="00DD6DB6" w:rsidRDefault="00DD6DB6" w:rsidP="009D42A0">
      <w:pPr>
        <w:spacing w:line="240" w:lineRule="auto"/>
        <w:jc w:val="both"/>
      </w:pPr>
    </w:p>
    <w:sectPr w:rsidR="00DD6DB6" w:rsidSect="00237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0A1"/>
    <w:multiLevelType w:val="hybridMultilevel"/>
    <w:tmpl w:val="AE301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7DF3"/>
    <w:multiLevelType w:val="hybridMultilevel"/>
    <w:tmpl w:val="571C2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36DC9"/>
    <w:multiLevelType w:val="hybridMultilevel"/>
    <w:tmpl w:val="30C69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12C5D"/>
    <w:multiLevelType w:val="hybridMultilevel"/>
    <w:tmpl w:val="5CA8F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33713"/>
    <w:multiLevelType w:val="hybridMultilevel"/>
    <w:tmpl w:val="203A9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C77A0"/>
    <w:multiLevelType w:val="hybridMultilevel"/>
    <w:tmpl w:val="3440E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C1E27"/>
    <w:multiLevelType w:val="hybridMultilevel"/>
    <w:tmpl w:val="D5329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B7865"/>
    <w:multiLevelType w:val="hybridMultilevel"/>
    <w:tmpl w:val="054C7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E2E9D"/>
    <w:multiLevelType w:val="hybridMultilevel"/>
    <w:tmpl w:val="CF50D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11690"/>
    <w:multiLevelType w:val="hybridMultilevel"/>
    <w:tmpl w:val="7DA6E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463F"/>
    <w:rsid w:val="000179D3"/>
    <w:rsid w:val="00047FDF"/>
    <w:rsid w:val="00051743"/>
    <w:rsid w:val="00073935"/>
    <w:rsid w:val="000B3416"/>
    <w:rsid w:val="000B5994"/>
    <w:rsid w:val="000E3190"/>
    <w:rsid w:val="000F281A"/>
    <w:rsid w:val="00104DBD"/>
    <w:rsid w:val="00144CBE"/>
    <w:rsid w:val="0016348F"/>
    <w:rsid w:val="0016722A"/>
    <w:rsid w:val="002029FD"/>
    <w:rsid w:val="002377D5"/>
    <w:rsid w:val="00297069"/>
    <w:rsid w:val="002C7CC3"/>
    <w:rsid w:val="003A1915"/>
    <w:rsid w:val="003C789C"/>
    <w:rsid w:val="003F72A5"/>
    <w:rsid w:val="00403990"/>
    <w:rsid w:val="00451FDB"/>
    <w:rsid w:val="00454DE0"/>
    <w:rsid w:val="00457C90"/>
    <w:rsid w:val="004D1DBC"/>
    <w:rsid w:val="004E2B09"/>
    <w:rsid w:val="005135A7"/>
    <w:rsid w:val="005140C8"/>
    <w:rsid w:val="00517431"/>
    <w:rsid w:val="00583498"/>
    <w:rsid w:val="005927B9"/>
    <w:rsid w:val="005C3F1D"/>
    <w:rsid w:val="00664DDD"/>
    <w:rsid w:val="00720C90"/>
    <w:rsid w:val="00730BC0"/>
    <w:rsid w:val="007417BF"/>
    <w:rsid w:val="007841A1"/>
    <w:rsid w:val="00786FA2"/>
    <w:rsid w:val="007873AB"/>
    <w:rsid w:val="007E28FA"/>
    <w:rsid w:val="007F4003"/>
    <w:rsid w:val="00836C97"/>
    <w:rsid w:val="008841D2"/>
    <w:rsid w:val="00886F9F"/>
    <w:rsid w:val="00895088"/>
    <w:rsid w:val="00921CD7"/>
    <w:rsid w:val="009B463F"/>
    <w:rsid w:val="009B56C6"/>
    <w:rsid w:val="009C7533"/>
    <w:rsid w:val="009D42A0"/>
    <w:rsid w:val="009F18E8"/>
    <w:rsid w:val="009F6270"/>
    <w:rsid w:val="00A14B62"/>
    <w:rsid w:val="00A57016"/>
    <w:rsid w:val="00A803DB"/>
    <w:rsid w:val="00B67F57"/>
    <w:rsid w:val="00B70C65"/>
    <w:rsid w:val="00B761E4"/>
    <w:rsid w:val="00C34942"/>
    <w:rsid w:val="00CD44F7"/>
    <w:rsid w:val="00D01575"/>
    <w:rsid w:val="00D0782F"/>
    <w:rsid w:val="00D50AC0"/>
    <w:rsid w:val="00D55064"/>
    <w:rsid w:val="00D5638E"/>
    <w:rsid w:val="00D735C0"/>
    <w:rsid w:val="00D91B21"/>
    <w:rsid w:val="00D93525"/>
    <w:rsid w:val="00D954A6"/>
    <w:rsid w:val="00DD6DB6"/>
    <w:rsid w:val="00DF2412"/>
    <w:rsid w:val="00E23EB7"/>
    <w:rsid w:val="00E625E7"/>
    <w:rsid w:val="00EA1198"/>
    <w:rsid w:val="00EE60C6"/>
    <w:rsid w:val="00F0045E"/>
    <w:rsid w:val="00F05CC8"/>
    <w:rsid w:val="00F21770"/>
    <w:rsid w:val="00F238B1"/>
    <w:rsid w:val="00F30950"/>
    <w:rsid w:val="00F35B83"/>
    <w:rsid w:val="00F3670C"/>
    <w:rsid w:val="00F9092B"/>
    <w:rsid w:val="00FA5636"/>
    <w:rsid w:val="00FB511E"/>
    <w:rsid w:val="00FD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7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vistoso">
    <w:name w:val="Colorful Shading"/>
    <w:basedOn w:val="Tablanormal"/>
    <w:uiPriority w:val="71"/>
    <w:rsid w:val="007E28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7E28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0F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7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vistoso">
    <w:name w:val="Colorful Shading"/>
    <w:basedOn w:val="Tablanormal"/>
    <w:uiPriority w:val="71"/>
    <w:rsid w:val="007E28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7E28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0F2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ADEMIICO\Desktop\INFORME%202012\INFORME%202012%20-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ADEMIICO\Desktop\INFORME%202012-2015\INFORME%202012%20-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ADEMIICO\Desktop\INFORME%202012-2015\INFORME%202012%20-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ADEMIICO\Desktop\INFORME%202012-2015\INFORME%202012%20-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ADEMIICO\Desktop\INFORME%202012-2015\INFORME%202012%20-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ADEMIICO\Desktop\INFORME%202012-2015\INFORME%202012%20-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26"/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4435 SERVICIOS ATENDIDOS</a:t>
            </a:r>
          </a:p>
        </c:rich>
      </c:tx>
    </c:title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SERVICIOS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angle"/>
            </a:sp3d>
          </c:spPr>
          <c:dLbls>
            <c:dLbl>
              <c:idx val="3"/>
              <c:layout>
                <c:manualLayout>
                  <c:x val="8.7149007492544441E-17"/>
                  <c:y val="1.1715564542613308E-2"/>
                </c:manualLayout>
              </c:layout>
              <c:dLblPos val="outEnd"/>
              <c:showVal val="1"/>
            </c:dLbl>
            <c:numFmt formatCode="#,##0" sourceLinked="0"/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dLblPos val="outEnd"/>
            <c:showVal val="1"/>
          </c:dLbls>
          <c:cat>
            <c:numRef>
              <c:f>Hoja1!$A$2:$A$5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1227</c:v>
                </c:pt>
                <c:pt idx="1">
                  <c:v>1167</c:v>
                </c:pt>
                <c:pt idx="2">
                  <c:v>1375</c:v>
                </c:pt>
                <c:pt idx="3">
                  <c:v>666</c:v>
                </c:pt>
              </c:numCache>
            </c:numRef>
          </c:val>
        </c:ser>
        <c:dLbls>
          <c:showVal val="1"/>
        </c:dLbls>
        <c:axId val="127949824"/>
        <c:axId val="82011648"/>
      </c:barChart>
      <c:catAx>
        <c:axId val="1279498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MX" b="0"/>
                  <a:t>AÑO</a:t>
                </a:r>
              </a:p>
            </c:rich>
          </c:tx>
        </c:title>
        <c:numFmt formatCode="General" sourceLinked="1"/>
        <c:majorTickMark val="none"/>
        <c:tickLblPos val="nextTo"/>
        <c:crossAx val="82011648"/>
        <c:crosses val="autoZero"/>
        <c:auto val="1"/>
        <c:lblAlgn val="ctr"/>
        <c:lblOffset val="100"/>
      </c:catAx>
      <c:valAx>
        <c:axId val="820116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MX"/>
                  <a:t>CANTIDAD DE SERVICIOS</a:t>
                </a:r>
              </a:p>
            </c:rich>
          </c:tx>
        </c:title>
        <c:numFmt formatCode="General" sourceLinked="1"/>
        <c:tickLblPos val="nextTo"/>
        <c:crossAx val="127949824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>
      <a:innerShdw blurRad="114300">
        <a:prstClr val="black"/>
      </a:inn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MX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26"/>
  <c:chart>
    <c:title>
      <c:tx>
        <c:rich>
          <a:bodyPr/>
          <a:lstStyle/>
          <a:p>
            <a:pPr>
              <a:defRPr sz="1200" b="0"/>
            </a:pPr>
            <a:r>
              <a:rPr lang="es-MX" sz="1200" b="0"/>
              <a:t>701 BIENES CAPITALIZABLES ADQUIRIDOS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BIENES</c:v>
                </c:pt>
              </c:strCache>
            </c:strRef>
          </c:tx>
          <c:explosion val="3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Pt>
            <c:idx val="3"/>
            <c:explosion val="0"/>
          </c:dPt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Val val="1"/>
          </c:dLbls>
          <c:cat>
            <c:numRef>
              <c:f>Hoja1!$A$2:$A$5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359</c:v>
                </c:pt>
                <c:pt idx="1">
                  <c:v>132</c:v>
                </c:pt>
                <c:pt idx="2">
                  <c:v>168</c:v>
                </c:pt>
                <c:pt idx="3">
                  <c:v>42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  <c:layout>
        <c:manualLayout>
          <c:xMode val="edge"/>
          <c:yMode val="edge"/>
          <c:x val="9.4063498945144527E-2"/>
          <c:y val="0.89479625265819984"/>
          <c:w val="0.81504406220266168"/>
          <c:h val="5.3938593246314032E-2"/>
        </c:manualLayout>
      </c:layout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zero"/>
  </c:chart>
  <c:spPr>
    <a:ln w="28575">
      <a:solidFill>
        <a:schemeClr val="tx1"/>
      </a:solidFill>
    </a:ln>
    <a:effectLst>
      <a:innerShdw blurRad="114300">
        <a:prstClr val="black"/>
      </a:innerShdw>
    </a:effectLst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26"/>
  <c:chart>
    <c:title>
      <c:tx>
        <c:rich>
          <a:bodyPr/>
          <a:lstStyle/>
          <a:p>
            <a:pPr>
              <a:defRPr sz="1200" b="0"/>
            </a:pPr>
            <a:r>
              <a:rPr lang="es-MX" sz="1200" b="0"/>
              <a:t>% EQUIPO DE COMPUTO CAPITALIZABLE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BIENES</c:v>
                </c:pt>
              </c:strCache>
            </c:strRef>
          </c:tx>
          <c:explosion val="3"/>
          <c:dPt>
            <c:idx val="0"/>
            <c:explosion val="0"/>
          </c:dPt>
          <c:dPt>
            <c:idx val="1"/>
            <c:explosion val="0"/>
          </c:dPt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dLblPos val="outEnd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BIENES PATRIMONIALES</c:v>
                </c:pt>
                <c:pt idx="1">
                  <c:v>EQUIPO DE COMPUTO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376</c:v>
                </c:pt>
                <c:pt idx="1">
                  <c:v>325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b"/>
      <c:layout>
        <c:manualLayout>
          <c:xMode val="edge"/>
          <c:yMode val="edge"/>
          <c:x val="4.9999740532250772E-2"/>
          <c:y val="0.88317161084791407"/>
          <c:w val="0.9"/>
          <c:h val="7.5424039148391187E-2"/>
        </c:manualLayout>
      </c:layout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zero"/>
  </c:chart>
  <c:spPr>
    <a:ln w="28575">
      <a:solidFill>
        <a:schemeClr val="tx1"/>
      </a:solidFill>
    </a:ln>
    <a:effectLst>
      <a:innerShdw blurRad="114300">
        <a:prstClr val="black"/>
      </a:innerShdw>
    </a:effectLst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29"/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TOTAL DE BIENES CAPITALIZABLES ACTIVOS</a:t>
            </a:r>
          </a:p>
          <a:p>
            <a:pPr>
              <a:defRPr sz="1200" b="0"/>
            </a:pPr>
            <a:r>
              <a:rPr lang="en-US" sz="1200" b="0"/>
              <a:t>2012 - 2015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BIENES CAPITALIZABLES ACTIVOS</c:v>
                </c:pt>
              </c:strCache>
            </c:strRef>
          </c:tx>
          <c:dLbls>
            <c:showVal val="1"/>
          </c:dLbls>
          <c:cat>
            <c:strRef>
              <c:f>Hoja1!$A$2:$A$4</c:f>
              <c:strCache>
                <c:ptCount val="3"/>
                <c:pt idx="0">
                  <c:v>2011</c:v>
                </c:pt>
                <c:pt idx="1">
                  <c:v>2015</c:v>
                </c:pt>
                <c:pt idx="2">
                  <c:v>BIENES ADQ. (2012-2015)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2286</c:v>
                </c:pt>
                <c:pt idx="1">
                  <c:v>2987</c:v>
                </c:pt>
                <c:pt idx="2">
                  <c:v>701</c:v>
                </c:pt>
              </c:numCache>
            </c:numRef>
          </c:val>
        </c:ser>
        <c:dLbls>
          <c:showVal val="1"/>
        </c:dLbls>
        <c:overlap val="-25"/>
        <c:axId val="113056000"/>
        <c:axId val="113065984"/>
      </c:barChart>
      <c:catAx>
        <c:axId val="1130560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es-MX"/>
          </a:p>
        </c:txPr>
        <c:crossAx val="113065984"/>
        <c:crosses val="autoZero"/>
        <c:auto val="1"/>
        <c:lblAlgn val="ctr"/>
        <c:lblOffset val="100"/>
      </c:catAx>
      <c:valAx>
        <c:axId val="11306598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30560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0502910900653668"/>
          <c:y val="0.19791666666666671"/>
          <c:w val="0.38994345800598235"/>
          <c:h val="6.9764326334208274E-2"/>
        </c:manualLayout>
      </c:layout>
    </c:legend>
    <c:plotVisOnly val="1"/>
    <c:dispBlanksAs val="gap"/>
  </c:chart>
  <c:spPr>
    <a:ln w="28575">
      <a:solidFill>
        <a:schemeClr val="tx1"/>
      </a:solidFill>
    </a:ln>
    <a:effectLst>
      <a:innerShdw blurRad="114300">
        <a:prstClr val="black"/>
      </a:innerShdw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26"/>
  <c:chart>
    <c:title>
      <c:tx>
        <c:rich>
          <a:bodyPr/>
          <a:lstStyle/>
          <a:p>
            <a:pPr>
              <a:defRPr sz="1100" b="0"/>
            </a:pPr>
            <a:r>
              <a:rPr lang="en-US" sz="1100" b="0"/>
              <a:t>TOTAL</a:t>
            </a:r>
            <a:r>
              <a:rPr lang="en-US" sz="1100" b="0" baseline="0"/>
              <a:t> DE VEHÍCULOS ACTUALIZADOS</a:t>
            </a:r>
          </a:p>
          <a:p>
            <a:pPr>
              <a:defRPr sz="1100" b="0"/>
            </a:pPr>
            <a:r>
              <a:rPr lang="en-US" sz="1100" b="0" baseline="0"/>
              <a:t>2012 - 2015</a:t>
            </a:r>
            <a:endParaRPr lang="en-US" sz="1100" b="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VEHÍCULOS</c:v>
                </c:pt>
              </c:strCache>
            </c:strRef>
          </c:tx>
          <c:explosion val="7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dLblPos val="outEnd"/>
            <c:showVal val="1"/>
            <c:showLeaderLines val="1"/>
          </c:dLbls>
          <c:cat>
            <c:strRef>
              <c:f>Hoja1!$A$2:$A$3</c:f>
              <c:strCache>
                <c:ptCount val="2"/>
                <c:pt idx="0">
                  <c:v>VEHÍCULO ACTUALIZADO</c:v>
                </c:pt>
                <c:pt idx="1">
                  <c:v>VEHÍCULO UTILITARIO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</c:v>
                </c:pt>
                <c:pt idx="1">
                  <c:v>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zero"/>
  </c:chart>
  <c:spPr>
    <a:ln w="28575">
      <a:solidFill>
        <a:schemeClr val="tx1"/>
      </a:solidFill>
    </a:ln>
    <a:effectLst>
      <a:innerShdw blurRad="114300">
        <a:prstClr val="black"/>
      </a:innerShdw>
    </a:effectLst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30"/>
  <c:chart>
    <c:title>
      <c:tx>
        <c:rich>
          <a:bodyPr/>
          <a:lstStyle/>
          <a:p>
            <a:pPr>
              <a:defRPr sz="1050" b="0"/>
            </a:pPr>
            <a:r>
              <a:rPr lang="en-US" sz="1050" b="0"/>
              <a:t>CRECIMIENTO</a:t>
            </a:r>
            <a:r>
              <a:rPr lang="en-US" sz="1050" b="0" baseline="0"/>
              <a:t> DEL PARQUE VEHICULAR</a:t>
            </a:r>
          </a:p>
          <a:p>
            <a:pPr>
              <a:defRPr sz="1050" b="0"/>
            </a:pPr>
            <a:r>
              <a:rPr lang="en-US" sz="1050" b="0" baseline="0"/>
              <a:t>2012 - 2015</a:t>
            </a:r>
            <a:endParaRPr lang="en-US" sz="1050" b="0"/>
          </a:p>
        </c:rich>
      </c:tx>
    </c:title>
    <c:plotArea>
      <c:layout>
        <c:manualLayout>
          <c:layoutTarget val="inner"/>
          <c:xMode val="edge"/>
          <c:yMode val="edge"/>
          <c:x val="0.10048788976988574"/>
          <c:y val="0.21069073117846157"/>
          <c:w val="0.6767041002314762"/>
          <c:h val="0.52427812517696593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VEHÍCULOS</c:v>
                </c:pt>
              </c:strCache>
            </c:strRef>
          </c:tx>
          <c:dLbls>
            <c:dLbl>
              <c:idx val="1"/>
              <c:layout>
                <c:manualLayout>
                  <c:x val="3.8767534296294463E-3"/>
                  <c:y val="-8.82443270015131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-1.323664445157038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es-MX"/>
              </a:p>
            </c:txPr>
            <c:dLblPos val="outEnd"/>
            <c:showVal val="1"/>
          </c:dLbls>
          <c:cat>
            <c:strRef>
              <c:f>Hoja1!$A$2:$A$4</c:f>
              <c:strCache>
                <c:ptCount val="3"/>
                <c:pt idx="0">
                  <c:v>2011</c:v>
                </c:pt>
                <c:pt idx="1">
                  <c:v>2015</c:v>
                </c:pt>
                <c:pt idx="2">
                  <c:v>NUEVAS UNIDADES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12</c:v>
                </c:pt>
                <c:pt idx="1">
                  <c:v>15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axId val="115431680"/>
        <c:axId val="115437952"/>
      </c:barChart>
      <c:catAx>
        <c:axId val="1154316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s-MX" sz="900" b="0"/>
                  <a:t>Nota:</a:t>
                </a:r>
                <a:r>
                  <a:rPr lang="es-MX" sz="900" b="0" baseline="0"/>
                  <a:t> Se logro ampliar el parque vehícular de 12 a 15 unidades</a:t>
                </a:r>
                <a:endParaRPr lang="es-MX" sz="900" b="0"/>
              </a:p>
            </c:rich>
          </c:tx>
          <c:layout>
            <c:manualLayout>
              <c:xMode val="edge"/>
              <c:yMode val="edge"/>
              <c:x val="9.4704507443214014E-2"/>
              <c:y val="0.87089602546371925"/>
            </c:manualLayout>
          </c:layout>
        </c:title>
        <c:majorTickMark val="none"/>
        <c:tickLblPos val="nextTo"/>
        <c:txPr>
          <a:bodyPr/>
          <a:lstStyle/>
          <a:p>
            <a:pPr>
              <a:defRPr sz="800"/>
            </a:pPr>
            <a:endParaRPr lang="es-MX"/>
          </a:p>
        </c:txPr>
        <c:crossAx val="115437952"/>
        <c:crosses val="autoZero"/>
        <c:auto val="1"/>
        <c:lblAlgn val="ctr"/>
        <c:lblOffset val="100"/>
      </c:catAx>
      <c:valAx>
        <c:axId val="115437952"/>
        <c:scaling>
          <c:orientation val="minMax"/>
        </c:scaling>
        <c:axPos val="l"/>
        <c:majorGridlines/>
        <c:numFmt formatCode="General" sourceLinked="1"/>
        <c:tickLblPos val="nextTo"/>
        <c:crossAx val="115431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0641514168313"/>
          <c:y val="0.41489808257639466"/>
          <c:w val="0.15692182114613323"/>
          <c:h val="5.8469489534539142E-2"/>
        </c:manualLayout>
      </c:layout>
      <c:txPr>
        <a:bodyPr/>
        <a:lstStyle/>
        <a:p>
          <a:pPr>
            <a:defRPr sz="600"/>
          </a:pPr>
          <a:endParaRPr lang="es-MX"/>
        </a:p>
      </c:txPr>
    </c:legend>
    <c:plotVisOnly val="1"/>
    <c:dispBlanksAs val="gap"/>
  </c:chart>
  <c:spPr>
    <a:ln w="28575">
      <a:solidFill>
        <a:schemeClr val="tx1"/>
      </a:solidFill>
    </a:ln>
    <a:effectLst>
      <a:innerShdw blurRad="114300">
        <a:prstClr val="black"/>
      </a:innerShdw>
    </a:effectLst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5D60-DD14-4C2C-91B6-F80A1EE9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ACADEMIICO</dc:creator>
  <cp:lastModifiedBy>Derecho</cp:lastModifiedBy>
  <cp:revision>2</cp:revision>
  <cp:lastPrinted>2015-06-29T19:55:00Z</cp:lastPrinted>
  <dcterms:created xsi:type="dcterms:W3CDTF">2015-06-30T01:38:00Z</dcterms:created>
  <dcterms:modified xsi:type="dcterms:W3CDTF">2015-06-30T01:38:00Z</dcterms:modified>
</cp:coreProperties>
</file>